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5647"/>
        <w:gridCol w:w="3737"/>
      </w:tblGrid>
      <w:tr w:rsidR="00A40A3E" w:rsidTr="00A40A3E">
        <w:tc>
          <w:tcPr>
            <w:tcW w:w="0" w:type="auto"/>
            <w:gridSpan w:val="2"/>
            <w:tcMar>
              <w:top w:w="12" w:type="dxa"/>
              <w:left w:w="12" w:type="dxa"/>
              <w:bottom w:w="12" w:type="dxa"/>
              <w:right w:w="12" w:type="dxa"/>
            </w:tcMar>
            <w:hideMark/>
          </w:tcPr>
          <w:p w:rsidR="00A40A3E" w:rsidRDefault="00A40A3E">
            <w:pPr>
              <w:textAlignment w:val="baseline"/>
            </w:pPr>
            <w:bookmarkStart w:id="0" w:name="_GoBack"/>
            <w:bookmarkEnd w:id="0"/>
            <w:r>
              <w:rPr>
                <w:rFonts w:ascii="Arial" w:hAnsi="Arial" w:cs="Arial"/>
                <w:b/>
                <w:bCs/>
                <w:color w:val="333333"/>
                <w:sz w:val="36"/>
                <w:szCs w:val="36"/>
              </w:rPr>
              <w:t>INTERNATIONAL CONSULTANT - ADVISOR FOR CONSTITUTION BUILDING</w:t>
            </w:r>
          </w:p>
        </w:tc>
      </w:tr>
      <w:tr w:rsidR="00A40A3E" w:rsidTr="00A40A3E">
        <w:tc>
          <w:tcPr>
            <w:tcW w:w="0" w:type="auto"/>
            <w:tcMar>
              <w:top w:w="12" w:type="dxa"/>
              <w:left w:w="12" w:type="dxa"/>
              <w:bottom w:w="12" w:type="dxa"/>
              <w:right w:w="12" w:type="dxa"/>
            </w:tcMar>
            <w:hideMark/>
          </w:tcPr>
          <w:p w:rsidR="00A40A3E" w:rsidRDefault="00A40A3E">
            <w:r>
              <w:rPr>
                <w:rFonts w:ascii="Arial" w:hAnsi="Arial" w:cs="Arial"/>
                <w:b/>
                <w:bCs/>
                <w:color w:val="666666"/>
                <w:bdr w:val="none" w:sz="0" w:space="0" w:color="auto" w:frame="1"/>
              </w:rPr>
              <w:t>Location :</w:t>
            </w:r>
          </w:p>
        </w:tc>
        <w:tc>
          <w:tcPr>
            <w:tcW w:w="0" w:type="auto"/>
            <w:tcMar>
              <w:top w:w="12" w:type="dxa"/>
              <w:left w:w="12" w:type="dxa"/>
              <w:bottom w:w="12" w:type="dxa"/>
              <w:right w:w="12" w:type="dxa"/>
            </w:tcMar>
            <w:hideMark/>
          </w:tcPr>
          <w:p w:rsidR="00A40A3E" w:rsidRDefault="00A40A3E">
            <w:r>
              <w:rPr>
                <w:rFonts w:ascii="Arial" w:hAnsi="Arial" w:cs="Arial"/>
                <w:color w:val="666666"/>
                <w:sz w:val="20"/>
                <w:szCs w:val="20"/>
              </w:rPr>
              <w:t>Kathmandu, NEPAL</w:t>
            </w:r>
          </w:p>
        </w:tc>
      </w:tr>
      <w:tr w:rsidR="00A40A3E" w:rsidTr="00A40A3E">
        <w:tc>
          <w:tcPr>
            <w:tcW w:w="0" w:type="auto"/>
            <w:tcMar>
              <w:top w:w="12" w:type="dxa"/>
              <w:left w:w="12" w:type="dxa"/>
              <w:bottom w:w="12" w:type="dxa"/>
              <w:right w:w="12" w:type="dxa"/>
            </w:tcMar>
            <w:hideMark/>
          </w:tcPr>
          <w:p w:rsidR="00A40A3E" w:rsidRDefault="00A40A3E">
            <w:r>
              <w:rPr>
                <w:rFonts w:ascii="Arial" w:hAnsi="Arial" w:cs="Arial"/>
                <w:b/>
                <w:bCs/>
                <w:color w:val="666666"/>
                <w:bdr w:val="none" w:sz="0" w:space="0" w:color="auto" w:frame="1"/>
              </w:rPr>
              <w:t>Application Deadline :</w:t>
            </w:r>
          </w:p>
        </w:tc>
        <w:tc>
          <w:tcPr>
            <w:tcW w:w="0" w:type="auto"/>
            <w:tcMar>
              <w:top w:w="12" w:type="dxa"/>
              <w:left w:w="12" w:type="dxa"/>
              <w:bottom w:w="12" w:type="dxa"/>
              <w:right w:w="12" w:type="dxa"/>
            </w:tcMar>
            <w:hideMark/>
          </w:tcPr>
          <w:p w:rsidR="00A40A3E" w:rsidRDefault="00A40A3E">
            <w:r>
              <w:rPr>
                <w:rFonts w:ascii="Arial" w:hAnsi="Arial" w:cs="Arial"/>
                <w:color w:val="666666"/>
                <w:sz w:val="20"/>
                <w:szCs w:val="20"/>
              </w:rPr>
              <w:t>30-Nov-14</w:t>
            </w:r>
          </w:p>
        </w:tc>
      </w:tr>
      <w:tr w:rsidR="00A40A3E" w:rsidTr="00A40A3E">
        <w:tc>
          <w:tcPr>
            <w:tcW w:w="0" w:type="auto"/>
            <w:tcMar>
              <w:top w:w="12" w:type="dxa"/>
              <w:left w:w="12" w:type="dxa"/>
              <w:bottom w:w="12" w:type="dxa"/>
              <w:right w:w="12" w:type="dxa"/>
            </w:tcMar>
            <w:hideMark/>
          </w:tcPr>
          <w:p w:rsidR="00A40A3E" w:rsidRDefault="00A40A3E">
            <w:r>
              <w:rPr>
                <w:rFonts w:ascii="Arial" w:hAnsi="Arial" w:cs="Arial"/>
                <w:b/>
                <w:bCs/>
                <w:color w:val="666666"/>
                <w:bdr w:val="none" w:sz="0" w:space="0" w:color="auto" w:frame="1"/>
              </w:rPr>
              <w:t>Additional Category</w:t>
            </w:r>
          </w:p>
        </w:tc>
        <w:tc>
          <w:tcPr>
            <w:tcW w:w="0" w:type="auto"/>
            <w:tcMar>
              <w:top w:w="12" w:type="dxa"/>
              <w:left w:w="12" w:type="dxa"/>
              <w:bottom w:w="12" w:type="dxa"/>
              <w:right w:w="12" w:type="dxa"/>
            </w:tcMar>
            <w:hideMark/>
          </w:tcPr>
          <w:p w:rsidR="00A40A3E" w:rsidRDefault="00A40A3E">
            <w:r>
              <w:rPr>
                <w:rFonts w:ascii="Arial" w:hAnsi="Arial" w:cs="Arial"/>
                <w:color w:val="666666"/>
                <w:sz w:val="20"/>
                <w:szCs w:val="20"/>
              </w:rPr>
              <w:t>Democratic Governance</w:t>
            </w:r>
          </w:p>
        </w:tc>
      </w:tr>
      <w:tr w:rsidR="00A40A3E" w:rsidTr="00A40A3E">
        <w:tc>
          <w:tcPr>
            <w:tcW w:w="0" w:type="auto"/>
            <w:tcMar>
              <w:top w:w="12" w:type="dxa"/>
              <w:left w:w="12" w:type="dxa"/>
              <w:bottom w:w="12" w:type="dxa"/>
              <w:right w:w="12" w:type="dxa"/>
            </w:tcMar>
            <w:hideMark/>
          </w:tcPr>
          <w:p w:rsidR="00A40A3E" w:rsidRDefault="00A40A3E">
            <w:r>
              <w:rPr>
                <w:rFonts w:ascii="Arial" w:hAnsi="Arial" w:cs="Arial"/>
                <w:b/>
                <w:bCs/>
                <w:color w:val="666666"/>
                <w:bdr w:val="none" w:sz="0" w:space="0" w:color="auto" w:frame="1"/>
              </w:rPr>
              <w:t>Type of Contract :</w:t>
            </w:r>
          </w:p>
        </w:tc>
        <w:tc>
          <w:tcPr>
            <w:tcW w:w="0" w:type="auto"/>
            <w:tcMar>
              <w:top w:w="12" w:type="dxa"/>
              <w:left w:w="12" w:type="dxa"/>
              <w:bottom w:w="12" w:type="dxa"/>
              <w:right w:w="12" w:type="dxa"/>
            </w:tcMar>
            <w:hideMark/>
          </w:tcPr>
          <w:p w:rsidR="00A40A3E" w:rsidRDefault="00A40A3E">
            <w:r>
              <w:rPr>
                <w:rFonts w:ascii="Arial" w:hAnsi="Arial" w:cs="Arial"/>
                <w:color w:val="666666"/>
                <w:sz w:val="20"/>
                <w:szCs w:val="20"/>
              </w:rPr>
              <w:t>Individual Contract</w:t>
            </w:r>
          </w:p>
        </w:tc>
      </w:tr>
      <w:tr w:rsidR="00A40A3E" w:rsidTr="00A40A3E">
        <w:tc>
          <w:tcPr>
            <w:tcW w:w="0" w:type="auto"/>
            <w:tcMar>
              <w:top w:w="12" w:type="dxa"/>
              <w:left w:w="12" w:type="dxa"/>
              <w:bottom w:w="12" w:type="dxa"/>
              <w:right w:w="12" w:type="dxa"/>
            </w:tcMar>
            <w:hideMark/>
          </w:tcPr>
          <w:p w:rsidR="00A40A3E" w:rsidRDefault="00A40A3E">
            <w:r>
              <w:rPr>
                <w:rFonts w:ascii="Arial" w:hAnsi="Arial" w:cs="Arial"/>
                <w:b/>
                <w:bCs/>
                <w:color w:val="666666"/>
                <w:bdr w:val="none" w:sz="0" w:space="0" w:color="auto" w:frame="1"/>
              </w:rPr>
              <w:t>Post Level :</w:t>
            </w:r>
          </w:p>
        </w:tc>
        <w:tc>
          <w:tcPr>
            <w:tcW w:w="0" w:type="auto"/>
            <w:tcMar>
              <w:top w:w="12" w:type="dxa"/>
              <w:left w:w="12" w:type="dxa"/>
              <w:bottom w:w="12" w:type="dxa"/>
              <w:right w:w="12" w:type="dxa"/>
            </w:tcMar>
            <w:hideMark/>
          </w:tcPr>
          <w:p w:rsidR="00A40A3E" w:rsidRDefault="00A40A3E">
            <w:r>
              <w:rPr>
                <w:rFonts w:ascii="Arial" w:hAnsi="Arial" w:cs="Arial"/>
                <w:color w:val="666666"/>
                <w:sz w:val="20"/>
                <w:szCs w:val="20"/>
              </w:rPr>
              <w:t>International Consultant</w:t>
            </w:r>
          </w:p>
        </w:tc>
      </w:tr>
      <w:tr w:rsidR="00A40A3E" w:rsidTr="00A40A3E">
        <w:tc>
          <w:tcPr>
            <w:tcW w:w="0" w:type="auto"/>
            <w:tcMar>
              <w:top w:w="12" w:type="dxa"/>
              <w:left w:w="12" w:type="dxa"/>
              <w:bottom w:w="12" w:type="dxa"/>
              <w:right w:w="12" w:type="dxa"/>
            </w:tcMar>
            <w:hideMark/>
          </w:tcPr>
          <w:p w:rsidR="00A40A3E" w:rsidRDefault="00A40A3E">
            <w:r>
              <w:rPr>
                <w:rFonts w:ascii="Arial" w:hAnsi="Arial" w:cs="Arial"/>
                <w:b/>
                <w:bCs/>
                <w:color w:val="666666"/>
                <w:bdr w:val="none" w:sz="0" w:space="0" w:color="auto" w:frame="1"/>
              </w:rPr>
              <w:t>Languages Required :</w:t>
            </w:r>
          </w:p>
        </w:tc>
        <w:tc>
          <w:tcPr>
            <w:tcW w:w="0" w:type="auto"/>
            <w:tcMar>
              <w:top w:w="12" w:type="dxa"/>
              <w:left w:w="12" w:type="dxa"/>
              <w:bottom w:w="12" w:type="dxa"/>
              <w:right w:w="12" w:type="dxa"/>
            </w:tcMar>
            <w:hideMark/>
          </w:tcPr>
          <w:p w:rsidR="00A40A3E" w:rsidRDefault="00A40A3E">
            <w:r>
              <w:rPr>
                <w:rFonts w:ascii="Arial" w:hAnsi="Arial" w:cs="Arial"/>
                <w:color w:val="666666"/>
                <w:sz w:val="20"/>
                <w:szCs w:val="20"/>
              </w:rPr>
              <w:t>English  </w:t>
            </w:r>
          </w:p>
        </w:tc>
      </w:tr>
      <w:tr w:rsidR="00A40A3E" w:rsidTr="00A40A3E">
        <w:tc>
          <w:tcPr>
            <w:tcW w:w="0" w:type="auto"/>
            <w:tcMar>
              <w:top w:w="12" w:type="dxa"/>
              <w:left w:w="12" w:type="dxa"/>
              <w:bottom w:w="12" w:type="dxa"/>
              <w:right w:w="12" w:type="dxa"/>
            </w:tcMar>
            <w:hideMark/>
          </w:tcPr>
          <w:p w:rsidR="00A40A3E" w:rsidRDefault="00A40A3E">
            <w:r>
              <w:rPr>
                <w:rFonts w:ascii="Arial" w:hAnsi="Arial" w:cs="Arial"/>
                <w:b/>
                <w:bCs/>
                <w:color w:val="666666"/>
                <w:bdr w:val="none" w:sz="0" w:space="0" w:color="auto" w:frame="1"/>
              </w:rPr>
              <w:t>Starting Date :</w:t>
            </w:r>
            <w:r>
              <w:rPr>
                <w:rFonts w:ascii="Arial" w:hAnsi="Arial" w:cs="Arial"/>
                <w:color w:val="666666"/>
                <w:sz w:val="20"/>
                <w:szCs w:val="20"/>
              </w:rPr>
              <w:br/>
              <w:t>(date when the selected candidate is expected to start)</w:t>
            </w:r>
          </w:p>
        </w:tc>
        <w:tc>
          <w:tcPr>
            <w:tcW w:w="0" w:type="auto"/>
            <w:tcMar>
              <w:top w:w="12" w:type="dxa"/>
              <w:left w:w="12" w:type="dxa"/>
              <w:bottom w:w="12" w:type="dxa"/>
              <w:right w:w="12" w:type="dxa"/>
            </w:tcMar>
            <w:hideMark/>
          </w:tcPr>
          <w:p w:rsidR="00A40A3E" w:rsidRDefault="00A40A3E">
            <w:r>
              <w:rPr>
                <w:rFonts w:ascii="Arial" w:hAnsi="Arial" w:cs="Arial"/>
                <w:color w:val="666666"/>
                <w:sz w:val="20"/>
                <w:szCs w:val="20"/>
              </w:rPr>
              <w:t>01-Jan-2015</w:t>
            </w:r>
          </w:p>
        </w:tc>
      </w:tr>
      <w:tr w:rsidR="00A40A3E" w:rsidTr="00A40A3E">
        <w:tc>
          <w:tcPr>
            <w:tcW w:w="0" w:type="auto"/>
            <w:tcMar>
              <w:top w:w="12" w:type="dxa"/>
              <w:left w:w="12" w:type="dxa"/>
              <w:bottom w:w="12" w:type="dxa"/>
              <w:right w:w="12" w:type="dxa"/>
            </w:tcMar>
            <w:hideMark/>
          </w:tcPr>
          <w:p w:rsidR="00A40A3E" w:rsidRDefault="00A40A3E">
            <w:r>
              <w:rPr>
                <w:rFonts w:ascii="Arial" w:hAnsi="Arial" w:cs="Arial"/>
                <w:b/>
                <w:bCs/>
                <w:color w:val="666666"/>
                <w:bdr w:val="none" w:sz="0" w:space="0" w:color="auto" w:frame="1"/>
              </w:rPr>
              <w:t>Duration of Initial Contract :</w:t>
            </w:r>
          </w:p>
        </w:tc>
        <w:tc>
          <w:tcPr>
            <w:tcW w:w="0" w:type="auto"/>
            <w:tcMar>
              <w:top w:w="12" w:type="dxa"/>
              <w:left w:w="12" w:type="dxa"/>
              <w:bottom w:w="12" w:type="dxa"/>
              <w:right w:w="12" w:type="dxa"/>
            </w:tcMar>
            <w:hideMark/>
          </w:tcPr>
          <w:p w:rsidR="00A40A3E" w:rsidRDefault="00A40A3E">
            <w:r>
              <w:rPr>
                <w:rFonts w:ascii="Arial" w:hAnsi="Arial" w:cs="Arial"/>
                <w:color w:val="666666"/>
                <w:sz w:val="20"/>
                <w:szCs w:val="20"/>
              </w:rPr>
              <w:t>90 days over a period of six months</w:t>
            </w:r>
          </w:p>
        </w:tc>
      </w:tr>
      <w:tr w:rsidR="00A40A3E" w:rsidTr="00A40A3E">
        <w:tc>
          <w:tcPr>
            <w:tcW w:w="0" w:type="auto"/>
            <w:tcMar>
              <w:top w:w="12" w:type="dxa"/>
              <w:left w:w="12" w:type="dxa"/>
              <w:bottom w:w="12" w:type="dxa"/>
              <w:right w:w="12" w:type="dxa"/>
            </w:tcMar>
            <w:hideMark/>
          </w:tcPr>
          <w:p w:rsidR="00A40A3E" w:rsidRDefault="00A40A3E">
            <w:r>
              <w:rPr>
                <w:rFonts w:ascii="Arial" w:hAnsi="Arial" w:cs="Arial"/>
                <w:b/>
                <w:bCs/>
                <w:color w:val="666666"/>
                <w:bdr w:val="none" w:sz="0" w:space="0" w:color="auto" w:frame="1"/>
              </w:rPr>
              <w:t>Expected Duration of Assignment :</w:t>
            </w:r>
          </w:p>
        </w:tc>
        <w:tc>
          <w:tcPr>
            <w:tcW w:w="0" w:type="auto"/>
            <w:tcMar>
              <w:top w:w="12" w:type="dxa"/>
              <w:left w:w="12" w:type="dxa"/>
              <w:bottom w:w="12" w:type="dxa"/>
              <w:right w:w="12" w:type="dxa"/>
            </w:tcMar>
            <w:hideMark/>
          </w:tcPr>
          <w:p w:rsidR="00A40A3E" w:rsidRDefault="00A40A3E">
            <w:r>
              <w:rPr>
                <w:rFonts w:ascii="Arial" w:hAnsi="Arial" w:cs="Arial"/>
                <w:color w:val="666666"/>
                <w:sz w:val="20"/>
                <w:szCs w:val="20"/>
              </w:rPr>
              <w:t>90 days over a period of six months</w:t>
            </w:r>
          </w:p>
        </w:tc>
      </w:tr>
      <w:tr w:rsidR="00A40A3E" w:rsidTr="00A40A3E">
        <w:tc>
          <w:tcPr>
            <w:tcW w:w="0" w:type="auto"/>
            <w:gridSpan w:val="2"/>
            <w:tcMar>
              <w:top w:w="12" w:type="dxa"/>
              <w:left w:w="12" w:type="dxa"/>
              <w:bottom w:w="12" w:type="dxa"/>
              <w:right w:w="12" w:type="dxa"/>
            </w:tcMar>
            <w:hideMark/>
          </w:tcPr>
          <w:p w:rsidR="00A40A3E" w:rsidRDefault="00A40A3E">
            <w:pPr>
              <w:jc w:val="right"/>
            </w:pPr>
            <w:r>
              <w:rPr>
                <w:rFonts w:ascii="Arial" w:hAnsi="Arial" w:cs="Arial"/>
                <w:color w:val="666666"/>
                <w:sz w:val="20"/>
                <w:szCs w:val="20"/>
              </w:rPr>
              <w:t> </w:t>
            </w:r>
          </w:p>
          <w:p w:rsidR="00A40A3E" w:rsidRDefault="006A6AB1">
            <w:pPr>
              <w:jc w:val="right"/>
              <w:textAlignment w:val="baseline"/>
            </w:pPr>
            <w:hyperlink r:id="rId6" w:history="1">
              <w:r w:rsidR="00A40A3E">
                <w:rPr>
                  <w:rStyle w:val="Hyperlink"/>
                  <w:rFonts w:ascii="Trebuchet MS" w:hAnsi="Trebuchet MS" w:cs="Arial"/>
                  <w:caps/>
                  <w:color w:val="336699"/>
                  <w:spacing w:val="30"/>
                  <w:sz w:val="14"/>
                  <w:szCs w:val="14"/>
                  <w:bdr w:val="single" w:sz="8" w:space="0" w:color="336699" w:frame="1"/>
                  <w:shd w:val="clear" w:color="auto" w:fill="E9F0F6"/>
                </w:rPr>
                <w:t>REFER A FRIEND</w:t>
              </w:r>
            </w:hyperlink>
            <w:r w:rsidR="00A40A3E">
              <w:rPr>
                <w:rFonts w:ascii="Arial" w:hAnsi="Arial" w:cs="Arial"/>
                <w:color w:val="666666"/>
                <w:sz w:val="20"/>
                <w:szCs w:val="20"/>
              </w:rPr>
              <w:t>  </w:t>
            </w:r>
            <w:hyperlink r:id="rId7" w:history="1">
              <w:r w:rsidR="00A40A3E">
                <w:rPr>
                  <w:rStyle w:val="Hyperlink"/>
                  <w:rFonts w:ascii="Trebuchet MS" w:hAnsi="Trebuchet MS" w:cs="Arial"/>
                  <w:caps/>
                  <w:color w:val="336699"/>
                  <w:spacing w:val="30"/>
                  <w:sz w:val="14"/>
                  <w:szCs w:val="14"/>
                  <w:bdr w:val="single" w:sz="8" w:space="0" w:color="336699" w:frame="1"/>
                  <w:shd w:val="clear" w:color="auto" w:fill="E9F0F6"/>
                </w:rPr>
                <w:t>APPLY NOW</w:t>
              </w:r>
            </w:hyperlink>
          </w:p>
        </w:tc>
      </w:tr>
    </w:tbl>
    <w:p w:rsidR="00A40A3E" w:rsidRDefault="00A40A3E" w:rsidP="00A40A3E">
      <w:r>
        <w:rPr>
          <w:vanish/>
        </w:rPr>
        <w:t> </w:t>
      </w:r>
    </w:p>
    <w:tbl>
      <w:tblPr>
        <w:tblW w:w="0" w:type="auto"/>
        <w:tblCellMar>
          <w:left w:w="0" w:type="dxa"/>
          <w:right w:w="0" w:type="dxa"/>
        </w:tblCellMar>
        <w:tblLook w:val="04A0" w:firstRow="1" w:lastRow="0" w:firstColumn="1" w:lastColumn="0" w:noHBand="0" w:noVBand="1"/>
      </w:tblPr>
      <w:tblGrid>
        <w:gridCol w:w="9384"/>
      </w:tblGrid>
      <w:tr w:rsidR="00A40A3E" w:rsidTr="00A40A3E">
        <w:tc>
          <w:tcPr>
            <w:tcW w:w="0" w:type="auto"/>
            <w:tcMar>
              <w:top w:w="12" w:type="dxa"/>
              <w:left w:w="12" w:type="dxa"/>
              <w:bottom w:w="12" w:type="dxa"/>
              <w:right w:w="12" w:type="dxa"/>
            </w:tcMar>
            <w:hideMark/>
          </w:tcPr>
          <w:p w:rsidR="00A40A3E" w:rsidRDefault="00A40A3E">
            <w:pPr>
              <w:spacing w:after="240"/>
            </w:pPr>
            <w:r>
              <w:rPr>
                <w:rFonts w:ascii="Arial" w:hAnsi="Arial" w:cs="Arial"/>
                <w:color w:val="666666"/>
                <w:sz w:val="20"/>
                <w:szCs w:val="20"/>
              </w:rPr>
              <w:t> </w:t>
            </w:r>
          </w:p>
          <w:p w:rsidR="00A40A3E" w:rsidRDefault="00A40A3E">
            <w:pPr>
              <w:spacing w:before="45" w:after="45"/>
              <w:textAlignment w:val="baseline"/>
            </w:pPr>
            <w:r>
              <w:rPr>
                <w:rFonts w:ascii="Arial" w:hAnsi="Arial" w:cs="Arial"/>
                <w:b/>
                <w:bCs/>
                <w:color w:val="0055AA"/>
              </w:rPr>
              <w:t>Background</w:t>
            </w:r>
          </w:p>
        </w:tc>
      </w:tr>
      <w:tr w:rsidR="00A40A3E" w:rsidTr="00A40A3E">
        <w:tc>
          <w:tcPr>
            <w:tcW w:w="0" w:type="auto"/>
            <w:tcMar>
              <w:top w:w="12" w:type="dxa"/>
              <w:left w:w="12" w:type="dxa"/>
              <w:bottom w:w="12" w:type="dxa"/>
              <w:right w:w="12" w:type="dxa"/>
            </w:tcMar>
            <w:hideMark/>
          </w:tcPr>
          <w:p w:rsidR="00A40A3E" w:rsidRDefault="00A40A3E">
            <w:pPr>
              <w:spacing w:line="293" w:lineRule="atLeast"/>
              <w:textAlignment w:val="baseline"/>
            </w:pPr>
            <w:r>
              <w:rPr>
                <w:rFonts w:ascii="Arial" w:hAnsi="Arial" w:cs="Arial"/>
                <w:color w:val="666666"/>
                <w:sz w:val="20"/>
                <w:szCs w:val="20"/>
              </w:rPr>
              <w:t>The UNDP has supported Nepal’s constitution building process since 2006. The Comprehensive Peace Agreement (CPA) of 2006 ended a decade long conflict and committed the country to a process of transition and change. The adoption of a new constitution by an elected and inclusive Constituent Assembly (CA) was a key element of the peace agreement. The constitution building process was designed to be inclusive, broadly consultative, supported mainly by Nepali experts and to lay the foundation for a new social contract for a new Nepal for the people of Nepal.</w:t>
            </w:r>
          </w:p>
          <w:p w:rsidR="00A40A3E" w:rsidRDefault="00A40A3E">
            <w:pPr>
              <w:spacing w:line="293" w:lineRule="atLeast"/>
              <w:textAlignment w:val="baseline"/>
            </w:pPr>
            <w:r>
              <w:rPr>
                <w:rFonts w:ascii="Arial" w:hAnsi="Arial" w:cs="Arial"/>
                <w:color w:val="666666"/>
                <w:sz w:val="20"/>
                <w:szCs w:val="20"/>
              </w:rPr>
              <w:t>Though substantial progress was made following the election of the first Constituent Assembly in 2008, despite several extensions of its term, it failed to adopt a new constitution by May 2012. After a period of constitutional crisis a political consensus was reached and elections to a second Constituent Assembly conducted in November 2013. The second CA is expected to build on the achievements of the first CA, resolve the contentious issues that prevented consensus during the first CA and draft and adopt a new constitution as a matter of national priority. The adoption of a new constitution in keeping with the commitments to change outlined in the CPA of 2006 and the provisions of the Interim Constitution of 2007 are vital for sustainable peace and democracy.</w:t>
            </w:r>
          </w:p>
          <w:p w:rsidR="00A40A3E" w:rsidRDefault="00A40A3E">
            <w:pPr>
              <w:spacing w:line="293" w:lineRule="atLeast"/>
              <w:textAlignment w:val="baseline"/>
            </w:pPr>
            <w:r>
              <w:rPr>
                <w:rFonts w:ascii="Arial" w:hAnsi="Arial" w:cs="Arial"/>
                <w:color w:val="666666"/>
                <w:sz w:val="20"/>
                <w:szCs w:val="20"/>
              </w:rPr>
              <w:t>UNDP’s Support to Participatory Constitution Building in Nepal (SPCBN) project has since 2008 worked closely with the Constituent Assembly and civil society to:</w:t>
            </w:r>
          </w:p>
          <w:p w:rsidR="00A40A3E" w:rsidRDefault="00A40A3E" w:rsidP="009278B6">
            <w:pPr>
              <w:numPr>
                <w:ilvl w:val="0"/>
                <w:numId w:val="1"/>
              </w:numPr>
              <w:spacing w:line="293" w:lineRule="atLeast"/>
              <w:ind w:left="750"/>
              <w:textAlignment w:val="baseline"/>
            </w:pPr>
            <w:r>
              <w:rPr>
                <w:rFonts w:ascii="Arial" w:hAnsi="Arial" w:cs="Arial"/>
                <w:color w:val="666666"/>
                <w:sz w:val="20"/>
                <w:szCs w:val="20"/>
              </w:rPr>
              <w:t>Provide technical and infrastructure support to the CA;</w:t>
            </w:r>
          </w:p>
          <w:p w:rsidR="00A40A3E" w:rsidRDefault="00A40A3E" w:rsidP="009278B6">
            <w:pPr>
              <w:numPr>
                <w:ilvl w:val="0"/>
                <w:numId w:val="1"/>
              </w:numPr>
              <w:spacing w:line="293" w:lineRule="atLeast"/>
              <w:ind w:left="750"/>
              <w:textAlignment w:val="baseline"/>
            </w:pPr>
            <w:r>
              <w:rPr>
                <w:rFonts w:ascii="Arial" w:hAnsi="Arial" w:cs="Arial"/>
                <w:color w:val="666666"/>
                <w:sz w:val="20"/>
                <w:szCs w:val="20"/>
              </w:rPr>
              <w:t>Provide space for an informed debate on constitutional issues with particular reference to international norms and comparative best practice;</w:t>
            </w:r>
          </w:p>
          <w:p w:rsidR="00A40A3E" w:rsidRDefault="00A40A3E" w:rsidP="009278B6">
            <w:pPr>
              <w:numPr>
                <w:ilvl w:val="0"/>
                <w:numId w:val="1"/>
              </w:numPr>
              <w:spacing w:line="293" w:lineRule="atLeast"/>
              <w:ind w:left="750"/>
              <w:textAlignment w:val="baseline"/>
            </w:pPr>
            <w:r>
              <w:rPr>
                <w:rFonts w:ascii="Arial" w:hAnsi="Arial" w:cs="Arial"/>
                <w:color w:val="666666"/>
                <w:sz w:val="20"/>
                <w:szCs w:val="20"/>
              </w:rPr>
              <w:t>Facilitate public participation and civil society engagement in the constitution making process;</w:t>
            </w:r>
          </w:p>
          <w:p w:rsidR="00A40A3E" w:rsidRDefault="00A40A3E" w:rsidP="009278B6">
            <w:pPr>
              <w:numPr>
                <w:ilvl w:val="0"/>
                <w:numId w:val="1"/>
              </w:numPr>
              <w:spacing w:line="293" w:lineRule="atLeast"/>
              <w:ind w:left="750"/>
              <w:textAlignment w:val="baseline"/>
            </w:pPr>
            <w:r>
              <w:rPr>
                <w:rFonts w:ascii="Arial" w:hAnsi="Arial" w:cs="Arial"/>
                <w:color w:val="666666"/>
                <w:sz w:val="20"/>
                <w:szCs w:val="20"/>
              </w:rPr>
              <w:t>Facilitate coordination and policy advice to the international community to support the constitution making process</w:t>
            </w:r>
          </w:p>
          <w:p w:rsidR="00A40A3E" w:rsidRDefault="00A40A3E">
            <w:pPr>
              <w:spacing w:line="293" w:lineRule="atLeast"/>
              <w:textAlignment w:val="baseline"/>
            </w:pPr>
            <w:r>
              <w:rPr>
                <w:rFonts w:ascii="Arial" w:hAnsi="Arial" w:cs="Arial"/>
                <w:color w:val="666666"/>
                <w:sz w:val="20"/>
                <w:szCs w:val="20"/>
              </w:rPr>
              <w:t>The International Advisor on Constitution Building will provide support to the constitution making process in keeping with the commitments made under the CPA 2006 and advice on the effective implementation of the new constitution.</w:t>
            </w:r>
          </w:p>
        </w:tc>
      </w:tr>
      <w:tr w:rsidR="00A40A3E" w:rsidTr="00A40A3E">
        <w:tc>
          <w:tcPr>
            <w:tcW w:w="0" w:type="auto"/>
            <w:tcMar>
              <w:top w:w="12" w:type="dxa"/>
              <w:left w:w="12" w:type="dxa"/>
              <w:bottom w:w="12" w:type="dxa"/>
              <w:right w:w="12" w:type="dxa"/>
            </w:tcMar>
            <w:hideMark/>
          </w:tcPr>
          <w:p w:rsidR="00A40A3E" w:rsidRDefault="00A40A3E">
            <w:pPr>
              <w:spacing w:after="240"/>
            </w:pPr>
            <w:r>
              <w:rPr>
                <w:rFonts w:ascii="Arial" w:hAnsi="Arial" w:cs="Arial"/>
                <w:color w:val="666666"/>
                <w:sz w:val="20"/>
                <w:szCs w:val="20"/>
              </w:rPr>
              <w:lastRenderedPageBreak/>
              <w:t> </w:t>
            </w:r>
          </w:p>
          <w:p w:rsidR="00A40A3E" w:rsidRDefault="00A40A3E">
            <w:pPr>
              <w:spacing w:before="45" w:after="45"/>
              <w:textAlignment w:val="baseline"/>
            </w:pPr>
            <w:r>
              <w:rPr>
                <w:rFonts w:ascii="Arial" w:hAnsi="Arial" w:cs="Arial"/>
                <w:b/>
                <w:bCs/>
                <w:color w:val="0055AA"/>
              </w:rPr>
              <w:t>Duties and Responsibilities</w:t>
            </w:r>
          </w:p>
        </w:tc>
      </w:tr>
      <w:tr w:rsidR="00A40A3E" w:rsidTr="00A40A3E">
        <w:tc>
          <w:tcPr>
            <w:tcW w:w="0" w:type="auto"/>
            <w:tcMar>
              <w:top w:w="12" w:type="dxa"/>
              <w:left w:w="12" w:type="dxa"/>
              <w:bottom w:w="12" w:type="dxa"/>
              <w:right w:w="12" w:type="dxa"/>
            </w:tcMar>
            <w:hideMark/>
          </w:tcPr>
          <w:p w:rsidR="00A40A3E" w:rsidRDefault="00A40A3E">
            <w:pPr>
              <w:spacing w:line="293" w:lineRule="atLeast"/>
              <w:textAlignment w:val="baseline"/>
            </w:pPr>
            <w:r>
              <w:rPr>
                <w:rFonts w:ascii="Arial" w:hAnsi="Arial" w:cs="Arial"/>
                <w:color w:val="666666"/>
                <w:sz w:val="20"/>
                <w:szCs w:val="20"/>
              </w:rPr>
              <w:t>The International Advisor will have 3 main areas of responsibility:</w:t>
            </w:r>
          </w:p>
          <w:p w:rsidR="00A40A3E" w:rsidRDefault="00A40A3E" w:rsidP="009278B6">
            <w:pPr>
              <w:numPr>
                <w:ilvl w:val="0"/>
                <w:numId w:val="2"/>
              </w:numPr>
              <w:spacing w:line="293" w:lineRule="atLeast"/>
              <w:ind w:left="750"/>
              <w:textAlignment w:val="baseline"/>
            </w:pPr>
            <w:r>
              <w:rPr>
                <w:rFonts w:ascii="Arial" w:hAnsi="Arial" w:cs="Arial"/>
                <w:color w:val="666666"/>
                <w:sz w:val="20"/>
                <w:szCs w:val="20"/>
              </w:rPr>
              <w:t>Advise the project and project staff for outputs to remain relevant to Nepal’s post peace agreement constitution making process.</w:t>
            </w:r>
          </w:p>
          <w:p w:rsidR="00A40A3E" w:rsidRDefault="00A40A3E" w:rsidP="009278B6">
            <w:pPr>
              <w:numPr>
                <w:ilvl w:val="0"/>
                <w:numId w:val="2"/>
              </w:numPr>
              <w:spacing w:line="293" w:lineRule="atLeast"/>
              <w:ind w:left="750"/>
              <w:textAlignment w:val="baseline"/>
            </w:pPr>
            <w:r>
              <w:rPr>
                <w:rFonts w:ascii="Arial" w:hAnsi="Arial" w:cs="Arial"/>
                <w:color w:val="666666"/>
                <w:sz w:val="20"/>
                <w:szCs w:val="20"/>
              </w:rPr>
              <w:t>Provide high quality technical, policy and advisory services to CA members, other national partners, the international community, the Resident Coordinator and UNDP Offices;</w:t>
            </w:r>
          </w:p>
          <w:p w:rsidR="00A40A3E" w:rsidRDefault="00A40A3E" w:rsidP="009278B6">
            <w:pPr>
              <w:numPr>
                <w:ilvl w:val="0"/>
                <w:numId w:val="2"/>
              </w:numPr>
              <w:spacing w:line="293" w:lineRule="atLeast"/>
              <w:ind w:left="750"/>
              <w:textAlignment w:val="baseline"/>
            </w:pPr>
            <w:r>
              <w:rPr>
                <w:rFonts w:ascii="Arial" w:hAnsi="Arial" w:cs="Arial"/>
                <w:color w:val="666666"/>
                <w:sz w:val="20"/>
                <w:szCs w:val="20"/>
              </w:rPr>
              <w:t>Facilitate partnership development with key stakeholders, both national and international and support the Resident Coordinator and the UNDP Country Office in coordination, information sharing and dialogue with development partners as well as CA members, key state and non-state actors and political parties.</w:t>
            </w:r>
          </w:p>
          <w:p w:rsidR="00A40A3E" w:rsidRDefault="00A40A3E">
            <w:pPr>
              <w:spacing w:line="293" w:lineRule="atLeast"/>
              <w:textAlignment w:val="baseline"/>
            </w:pPr>
            <w:r>
              <w:rPr>
                <w:rFonts w:ascii="Arial" w:hAnsi="Arial" w:cs="Arial"/>
                <w:color w:val="666666"/>
                <w:sz w:val="20"/>
                <w:szCs w:val="20"/>
              </w:rPr>
              <w:t>The International Advisor will report to the UNDP Deputy Country Director (P), while maintaining a close working relationship with the UN Resident Coordinator and UNDP Country Director.  </w:t>
            </w:r>
          </w:p>
          <w:p w:rsidR="00A40A3E" w:rsidRDefault="00A40A3E">
            <w:pPr>
              <w:spacing w:line="293" w:lineRule="atLeast"/>
              <w:textAlignment w:val="baseline"/>
            </w:pPr>
            <w:r>
              <w:rPr>
                <w:rFonts w:ascii="Arial" w:hAnsi="Arial" w:cs="Arial"/>
                <w:color w:val="666666"/>
                <w:sz w:val="20"/>
                <w:szCs w:val="20"/>
              </w:rPr>
              <w:t xml:space="preserve">Interested candidates can download the Procurement Notice, detailed Terms of Reference (Annex1), general </w:t>
            </w:r>
            <w:proofErr w:type="spellStart"/>
            <w:r>
              <w:rPr>
                <w:rFonts w:ascii="Arial" w:hAnsi="Arial" w:cs="Arial"/>
                <w:color w:val="666666"/>
                <w:sz w:val="20"/>
                <w:szCs w:val="20"/>
              </w:rPr>
              <w:t>Conidtions</w:t>
            </w:r>
            <w:proofErr w:type="spellEnd"/>
            <w:r>
              <w:rPr>
                <w:rFonts w:ascii="Arial" w:hAnsi="Arial" w:cs="Arial"/>
                <w:color w:val="666666"/>
                <w:sz w:val="20"/>
                <w:szCs w:val="20"/>
              </w:rPr>
              <w:t xml:space="preserve"> of Contract for the services of Individual Contractors (Annex 2) and P11 Form (Annex 3) from the UNDP website:</w:t>
            </w:r>
          </w:p>
          <w:p w:rsidR="00A40A3E" w:rsidRDefault="006A6AB1">
            <w:pPr>
              <w:spacing w:line="293" w:lineRule="atLeast"/>
              <w:textAlignment w:val="baseline"/>
            </w:pPr>
            <w:hyperlink r:id="rId8" w:history="1">
              <w:r w:rsidR="00A40A3E">
                <w:rPr>
                  <w:rStyle w:val="Hyperlink"/>
                  <w:rFonts w:ascii="Arial" w:hAnsi="Arial" w:cs="Arial"/>
                  <w:color w:val="0055AA"/>
                  <w:sz w:val="20"/>
                  <w:szCs w:val="20"/>
                  <w:bdr w:val="none" w:sz="0" w:space="0" w:color="auto" w:frame="1"/>
                </w:rPr>
                <w:t>http://procurement-notices.undp.org/view_notice.cfm?notice_id=19351.</w:t>
              </w:r>
            </w:hyperlink>
          </w:p>
          <w:p w:rsidR="00A40A3E" w:rsidRDefault="00A40A3E">
            <w:pPr>
              <w:spacing w:line="293" w:lineRule="atLeast"/>
              <w:textAlignment w:val="baseline"/>
            </w:pPr>
            <w:r>
              <w:rPr>
                <w:rFonts w:ascii="Arial" w:hAnsi="Arial" w:cs="Arial"/>
                <w:color w:val="666666"/>
                <w:sz w:val="20"/>
                <w:szCs w:val="20"/>
              </w:rPr>
              <w:t>Please submit your application at the following email address if you face problem applying online:</w:t>
            </w:r>
          </w:p>
          <w:p w:rsidR="00A40A3E" w:rsidRDefault="006A6AB1">
            <w:pPr>
              <w:spacing w:line="293" w:lineRule="atLeast"/>
              <w:textAlignment w:val="baseline"/>
            </w:pPr>
            <w:hyperlink r:id="rId9" w:history="1">
              <w:r w:rsidR="00A40A3E">
                <w:rPr>
                  <w:rStyle w:val="Hyperlink"/>
                  <w:rFonts w:ascii="Arial" w:hAnsi="Arial" w:cs="Arial"/>
                  <w:color w:val="0055AA"/>
                  <w:sz w:val="20"/>
                  <w:szCs w:val="20"/>
                  <w:bdr w:val="none" w:sz="0" w:space="0" w:color="auto" w:frame="1"/>
                </w:rPr>
                <w:t>procurement.np@undp.org.</w:t>
              </w:r>
            </w:hyperlink>
          </w:p>
        </w:tc>
      </w:tr>
      <w:tr w:rsidR="00A40A3E" w:rsidTr="00A40A3E">
        <w:tc>
          <w:tcPr>
            <w:tcW w:w="0" w:type="auto"/>
            <w:tcMar>
              <w:top w:w="12" w:type="dxa"/>
              <w:left w:w="12" w:type="dxa"/>
              <w:bottom w:w="12" w:type="dxa"/>
              <w:right w:w="12" w:type="dxa"/>
            </w:tcMar>
            <w:hideMark/>
          </w:tcPr>
          <w:p w:rsidR="00A40A3E" w:rsidRDefault="00A40A3E">
            <w:pPr>
              <w:spacing w:after="240"/>
            </w:pPr>
            <w:r>
              <w:rPr>
                <w:rFonts w:ascii="Arial" w:hAnsi="Arial" w:cs="Arial"/>
                <w:color w:val="666666"/>
                <w:sz w:val="20"/>
                <w:szCs w:val="20"/>
              </w:rPr>
              <w:t> </w:t>
            </w:r>
          </w:p>
          <w:p w:rsidR="00A40A3E" w:rsidRDefault="00A40A3E">
            <w:pPr>
              <w:spacing w:before="45" w:after="45"/>
              <w:textAlignment w:val="baseline"/>
            </w:pPr>
            <w:r>
              <w:rPr>
                <w:rFonts w:ascii="Arial" w:hAnsi="Arial" w:cs="Arial"/>
                <w:b/>
                <w:bCs/>
                <w:color w:val="0055AA"/>
              </w:rPr>
              <w:t>Competencies</w:t>
            </w:r>
          </w:p>
        </w:tc>
      </w:tr>
      <w:tr w:rsidR="00A40A3E" w:rsidTr="00A40A3E">
        <w:tc>
          <w:tcPr>
            <w:tcW w:w="0" w:type="auto"/>
            <w:tcMar>
              <w:top w:w="12" w:type="dxa"/>
              <w:left w:w="12" w:type="dxa"/>
              <w:bottom w:w="12" w:type="dxa"/>
              <w:right w:w="12" w:type="dxa"/>
            </w:tcMar>
            <w:hideMark/>
          </w:tcPr>
          <w:p w:rsidR="00A40A3E" w:rsidRDefault="00A40A3E">
            <w:pPr>
              <w:spacing w:line="293" w:lineRule="atLeast"/>
              <w:textAlignment w:val="baseline"/>
            </w:pPr>
            <w:r>
              <w:rPr>
                <w:rFonts w:ascii="Arial" w:hAnsi="Arial" w:cs="Arial"/>
                <w:b/>
                <w:bCs/>
                <w:color w:val="666666"/>
                <w:bdr w:val="none" w:sz="0" w:space="0" w:color="auto" w:frame="1"/>
              </w:rPr>
              <w:t>Functional Competencies:</w:t>
            </w:r>
          </w:p>
          <w:p w:rsidR="00A40A3E" w:rsidRDefault="00A40A3E" w:rsidP="009278B6">
            <w:pPr>
              <w:numPr>
                <w:ilvl w:val="0"/>
                <w:numId w:val="3"/>
              </w:numPr>
              <w:spacing w:line="293" w:lineRule="atLeast"/>
              <w:ind w:left="750"/>
              <w:textAlignment w:val="baseline"/>
            </w:pPr>
            <w:r>
              <w:rPr>
                <w:rFonts w:ascii="Arial" w:hAnsi="Arial" w:cs="Arial"/>
                <w:color w:val="666666"/>
                <w:sz w:val="20"/>
                <w:szCs w:val="20"/>
              </w:rPr>
              <w:t>Self-development, initiative-taking;</w:t>
            </w:r>
          </w:p>
          <w:p w:rsidR="00A40A3E" w:rsidRDefault="00A40A3E" w:rsidP="009278B6">
            <w:pPr>
              <w:numPr>
                <w:ilvl w:val="0"/>
                <w:numId w:val="3"/>
              </w:numPr>
              <w:spacing w:line="293" w:lineRule="atLeast"/>
              <w:ind w:left="750"/>
              <w:textAlignment w:val="baseline"/>
            </w:pPr>
            <w:r>
              <w:rPr>
                <w:rFonts w:ascii="Arial" w:hAnsi="Arial" w:cs="Arial"/>
                <w:color w:val="666666"/>
                <w:sz w:val="20"/>
                <w:szCs w:val="20"/>
              </w:rPr>
              <w:t>Acting as a team player and facilitating team work;</w:t>
            </w:r>
          </w:p>
          <w:p w:rsidR="00A40A3E" w:rsidRDefault="00A40A3E" w:rsidP="009278B6">
            <w:pPr>
              <w:numPr>
                <w:ilvl w:val="0"/>
                <w:numId w:val="3"/>
              </w:numPr>
              <w:spacing w:line="293" w:lineRule="atLeast"/>
              <w:ind w:left="750"/>
              <w:textAlignment w:val="baseline"/>
            </w:pPr>
            <w:r>
              <w:rPr>
                <w:rFonts w:ascii="Arial" w:hAnsi="Arial" w:cs="Arial"/>
                <w:color w:val="666666"/>
                <w:sz w:val="20"/>
                <w:szCs w:val="20"/>
              </w:rPr>
              <w:t>Facilitating and encouraging open communication in the team, communicating effectively;</w:t>
            </w:r>
          </w:p>
          <w:p w:rsidR="00A40A3E" w:rsidRDefault="00A40A3E" w:rsidP="009278B6">
            <w:pPr>
              <w:numPr>
                <w:ilvl w:val="0"/>
                <w:numId w:val="3"/>
              </w:numPr>
              <w:spacing w:line="293" w:lineRule="atLeast"/>
              <w:ind w:left="750"/>
              <w:textAlignment w:val="baseline"/>
            </w:pPr>
            <w:r>
              <w:rPr>
                <w:rFonts w:ascii="Arial" w:hAnsi="Arial" w:cs="Arial"/>
                <w:color w:val="666666"/>
                <w:sz w:val="20"/>
                <w:szCs w:val="20"/>
              </w:rPr>
              <w:t>Creating synergies through self-control;</w:t>
            </w:r>
          </w:p>
          <w:p w:rsidR="00A40A3E" w:rsidRDefault="00A40A3E" w:rsidP="009278B6">
            <w:pPr>
              <w:numPr>
                <w:ilvl w:val="0"/>
                <w:numId w:val="3"/>
              </w:numPr>
              <w:spacing w:line="293" w:lineRule="atLeast"/>
              <w:ind w:left="750"/>
              <w:textAlignment w:val="baseline"/>
            </w:pPr>
            <w:r>
              <w:rPr>
                <w:rFonts w:ascii="Arial" w:hAnsi="Arial" w:cs="Arial"/>
                <w:color w:val="666666"/>
                <w:sz w:val="20"/>
                <w:szCs w:val="20"/>
              </w:rPr>
              <w:t>Managing conflict;</w:t>
            </w:r>
          </w:p>
          <w:p w:rsidR="00A40A3E" w:rsidRDefault="00A40A3E" w:rsidP="009278B6">
            <w:pPr>
              <w:numPr>
                <w:ilvl w:val="0"/>
                <w:numId w:val="3"/>
              </w:numPr>
              <w:spacing w:line="293" w:lineRule="atLeast"/>
              <w:ind w:left="750"/>
              <w:textAlignment w:val="baseline"/>
            </w:pPr>
            <w:r>
              <w:rPr>
                <w:rFonts w:ascii="Arial" w:hAnsi="Arial" w:cs="Arial"/>
                <w:color w:val="666666"/>
                <w:sz w:val="20"/>
                <w:szCs w:val="20"/>
              </w:rPr>
              <w:t>Learning and sharing knowledge and encourage the learning of others. Promoting learning and knowledge management/sharing is the responsibility of each staff member;</w:t>
            </w:r>
          </w:p>
          <w:p w:rsidR="00A40A3E" w:rsidRDefault="00A40A3E" w:rsidP="009278B6">
            <w:pPr>
              <w:numPr>
                <w:ilvl w:val="0"/>
                <w:numId w:val="3"/>
              </w:numPr>
              <w:spacing w:line="293" w:lineRule="atLeast"/>
              <w:ind w:left="750"/>
              <w:textAlignment w:val="baseline"/>
            </w:pPr>
            <w:r>
              <w:rPr>
                <w:rFonts w:ascii="Arial" w:hAnsi="Arial" w:cs="Arial"/>
                <w:color w:val="666666"/>
                <w:sz w:val="20"/>
                <w:szCs w:val="20"/>
              </w:rPr>
              <w:t>Informed and transparent decision making.</w:t>
            </w:r>
          </w:p>
          <w:p w:rsidR="00A40A3E" w:rsidRDefault="00A40A3E" w:rsidP="009278B6">
            <w:pPr>
              <w:numPr>
                <w:ilvl w:val="0"/>
                <w:numId w:val="3"/>
              </w:numPr>
              <w:spacing w:line="293" w:lineRule="atLeast"/>
              <w:ind w:left="750"/>
              <w:textAlignment w:val="baseline"/>
            </w:pPr>
            <w:r>
              <w:rPr>
                <w:rFonts w:ascii="Arial" w:hAnsi="Arial" w:cs="Arial"/>
                <w:color w:val="666666"/>
                <w:sz w:val="20"/>
                <w:szCs w:val="20"/>
              </w:rPr>
              <w:t>Demonstrate professional competence and expert knowledge of the pertinent substantive areas of work.</w:t>
            </w:r>
          </w:p>
          <w:p w:rsidR="00A40A3E" w:rsidRDefault="00A40A3E">
            <w:pPr>
              <w:spacing w:line="293" w:lineRule="atLeast"/>
              <w:textAlignment w:val="baseline"/>
            </w:pPr>
            <w:r>
              <w:rPr>
                <w:rFonts w:ascii="Arial" w:hAnsi="Arial" w:cs="Arial"/>
                <w:b/>
                <w:bCs/>
                <w:color w:val="666666"/>
                <w:bdr w:val="none" w:sz="0" w:space="0" w:color="auto" w:frame="1"/>
              </w:rPr>
              <w:t>Corporate competences:</w:t>
            </w:r>
          </w:p>
          <w:p w:rsidR="00A40A3E" w:rsidRDefault="00A40A3E" w:rsidP="009278B6">
            <w:pPr>
              <w:numPr>
                <w:ilvl w:val="0"/>
                <w:numId w:val="4"/>
              </w:numPr>
              <w:spacing w:line="293" w:lineRule="atLeast"/>
              <w:ind w:left="750"/>
              <w:textAlignment w:val="baseline"/>
            </w:pPr>
            <w:r>
              <w:rPr>
                <w:rFonts w:ascii="Arial" w:hAnsi="Arial" w:cs="Arial"/>
                <w:color w:val="666666"/>
                <w:sz w:val="20"/>
                <w:szCs w:val="20"/>
              </w:rPr>
              <w:t>Commitment to UNDP’s mission, vision and values;</w:t>
            </w:r>
          </w:p>
          <w:p w:rsidR="00A40A3E" w:rsidRDefault="00A40A3E" w:rsidP="009278B6">
            <w:pPr>
              <w:numPr>
                <w:ilvl w:val="0"/>
                <w:numId w:val="4"/>
              </w:numPr>
              <w:spacing w:line="293" w:lineRule="atLeast"/>
              <w:ind w:left="750"/>
              <w:textAlignment w:val="baseline"/>
            </w:pPr>
            <w:r>
              <w:rPr>
                <w:rFonts w:ascii="Arial" w:hAnsi="Arial" w:cs="Arial"/>
                <w:color w:val="666666"/>
                <w:sz w:val="20"/>
                <w:szCs w:val="20"/>
              </w:rPr>
              <w:t>Sensitivity to cultural, gender, religion, race, nationality and age differences;</w:t>
            </w:r>
          </w:p>
          <w:p w:rsidR="00A40A3E" w:rsidRDefault="00A40A3E" w:rsidP="009278B6">
            <w:pPr>
              <w:numPr>
                <w:ilvl w:val="0"/>
                <w:numId w:val="4"/>
              </w:numPr>
              <w:spacing w:line="293" w:lineRule="atLeast"/>
              <w:ind w:left="750"/>
              <w:textAlignment w:val="baseline"/>
            </w:pPr>
            <w:r>
              <w:rPr>
                <w:rFonts w:ascii="Arial" w:hAnsi="Arial" w:cs="Arial"/>
                <w:color w:val="666666"/>
                <w:sz w:val="20"/>
                <w:szCs w:val="20"/>
              </w:rPr>
              <w:t>Fulfills all obligations to gender sensitivity and zero tolerance for sexual harassment;</w:t>
            </w:r>
          </w:p>
          <w:p w:rsidR="00A40A3E" w:rsidRDefault="00A40A3E" w:rsidP="009278B6">
            <w:pPr>
              <w:numPr>
                <w:ilvl w:val="0"/>
                <w:numId w:val="4"/>
              </w:numPr>
              <w:spacing w:line="293" w:lineRule="atLeast"/>
              <w:ind w:left="750"/>
              <w:textAlignment w:val="baseline"/>
            </w:pPr>
            <w:r>
              <w:rPr>
                <w:rFonts w:ascii="Arial" w:hAnsi="Arial" w:cs="Arial"/>
                <w:color w:val="666666"/>
                <w:sz w:val="20"/>
                <w:szCs w:val="20"/>
              </w:rPr>
              <w:t>Demonstrate consistency in upholding and promoting the values of UN in actions and decisions, in line with the UN Code of Conduct.</w:t>
            </w:r>
          </w:p>
        </w:tc>
      </w:tr>
      <w:tr w:rsidR="00A40A3E" w:rsidTr="00A40A3E">
        <w:tc>
          <w:tcPr>
            <w:tcW w:w="0" w:type="auto"/>
            <w:tcMar>
              <w:top w:w="12" w:type="dxa"/>
              <w:left w:w="12" w:type="dxa"/>
              <w:bottom w:w="12" w:type="dxa"/>
              <w:right w:w="12" w:type="dxa"/>
            </w:tcMar>
            <w:hideMark/>
          </w:tcPr>
          <w:p w:rsidR="00A40A3E" w:rsidRDefault="00A40A3E">
            <w:pPr>
              <w:spacing w:after="240"/>
            </w:pPr>
            <w:r>
              <w:rPr>
                <w:rFonts w:ascii="Arial" w:hAnsi="Arial" w:cs="Arial"/>
                <w:color w:val="666666"/>
                <w:sz w:val="20"/>
                <w:szCs w:val="20"/>
              </w:rPr>
              <w:t> </w:t>
            </w:r>
          </w:p>
          <w:p w:rsidR="00A40A3E" w:rsidRDefault="00A40A3E">
            <w:pPr>
              <w:spacing w:before="45" w:after="45"/>
              <w:textAlignment w:val="baseline"/>
            </w:pPr>
            <w:r>
              <w:rPr>
                <w:rFonts w:ascii="Arial" w:hAnsi="Arial" w:cs="Arial"/>
                <w:b/>
                <w:bCs/>
                <w:color w:val="0055AA"/>
              </w:rPr>
              <w:t>Required Skills and Experience</w:t>
            </w:r>
          </w:p>
        </w:tc>
      </w:tr>
      <w:tr w:rsidR="00A40A3E" w:rsidTr="00A40A3E">
        <w:tc>
          <w:tcPr>
            <w:tcW w:w="0" w:type="auto"/>
            <w:tcMar>
              <w:top w:w="12" w:type="dxa"/>
              <w:left w:w="12" w:type="dxa"/>
              <w:bottom w:w="12" w:type="dxa"/>
              <w:right w:w="12" w:type="dxa"/>
            </w:tcMar>
            <w:hideMark/>
          </w:tcPr>
          <w:p w:rsidR="00A40A3E" w:rsidRDefault="00A40A3E">
            <w:pPr>
              <w:spacing w:line="293" w:lineRule="atLeast"/>
              <w:textAlignment w:val="baseline"/>
            </w:pPr>
            <w:r>
              <w:rPr>
                <w:rFonts w:ascii="Arial" w:hAnsi="Arial" w:cs="Arial"/>
                <w:b/>
                <w:bCs/>
                <w:color w:val="666666"/>
                <w:bdr w:val="none" w:sz="0" w:space="0" w:color="auto" w:frame="1"/>
              </w:rPr>
              <w:t>Education:</w:t>
            </w:r>
          </w:p>
          <w:p w:rsidR="00A40A3E" w:rsidRDefault="00A40A3E" w:rsidP="009278B6">
            <w:pPr>
              <w:numPr>
                <w:ilvl w:val="0"/>
                <w:numId w:val="5"/>
              </w:numPr>
              <w:spacing w:line="293" w:lineRule="atLeast"/>
              <w:ind w:left="750"/>
              <w:textAlignment w:val="baseline"/>
            </w:pPr>
            <w:r>
              <w:rPr>
                <w:rFonts w:ascii="Arial" w:hAnsi="Arial" w:cs="Arial"/>
                <w:color w:val="666666"/>
                <w:sz w:val="20"/>
                <w:szCs w:val="20"/>
              </w:rPr>
              <w:lastRenderedPageBreak/>
              <w:t>An advanced (Master’s or above) degree in law, political science or related social science.</w:t>
            </w:r>
          </w:p>
          <w:p w:rsidR="00A40A3E" w:rsidRDefault="00A40A3E">
            <w:pPr>
              <w:spacing w:line="293" w:lineRule="atLeast"/>
              <w:textAlignment w:val="baseline"/>
            </w:pPr>
            <w:r>
              <w:rPr>
                <w:rFonts w:ascii="Arial" w:hAnsi="Arial" w:cs="Arial"/>
                <w:b/>
                <w:bCs/>
                <w:color w:val="666666"/>
                <w:bdr w:val="none" w:sz="0" w:space="0" w:color="auto" w:frame="1"/>
              </w:rPr>
              <w:t>Experience:</w:t>
            </w:r>
          </w:p>
          <w:p w:rsidR="00A40A3E" w:rsidRDefault="00A40A3E" w:rsidP="009278B6">
            <w:pPr>
              <w:numPr>
                <w:ilvl w:val="0"/>
                <w:numId w:val="6"/>
              </w:numPr>
              <w:spacing w:line="293" w:lineRule="atLeast"/>
              <w:ind w:left="750"/>
              <w:textAlignment w:val="baseline"/>
            </w:pPr>
            <w:r>
              <w:rPr>
                <w:rFonts w:ascii="Arial" w:hAnsi="Arial" w:cs="Arial"/>
                <w:color w:val="666666"/>
                <w:sz w:val="20"/>
                <w:szCs w:val="20"/>
              </w:rPr>
              <w:t xml:space="preserve">At least 10 </w:t>
            </w:r>
            <w:proofErr w:type="spellStart"/>
            <w:r>
              <w:rPr>
                <w:rFonts w:ascii="Arial" w:hAnsi="Arial" w:cs="Arial"/>
                <w:color w:val="666666"/>
                <w:sz w:val="20"/>
                <w:szCs w:val="20"/>
              </w:rPr>
              <w:t>years experience</w:t>
            </w:r>
            <w:proofErr w:type="spellEnd"/>
            <w:r>
              <w:rPr>
                <w:rFonts w:ascii="Arial" w:hAnsi="Arial" w:cs="Arial"/>
                <w:color w:val="666666"/>
                <w:sz w:val="20"/>
                <w:szCs w:val="20"/>
              </w:rPr>
              <w:t xml:space="preserve"> of senior level experience dealing with constitutional reform, state restructuring or conflict resolution;</w:t>
            </w:r>
          </w:p>
          <w:p w:rsidR="00A40A3E" w:rsidRDefault="00A40A3E" w:rsidP="009278B6">
            <w:pPr>
              <w:numPr>
                <w:ilvl w:val="0"/>
                <w:numId w:val="6"/>
              </w:numPr>
              <w:spacing w:line="293" w:lineRule="atLeast"/>
              <w:ind w:left="750"/>
              <w:textAlignment w:val="baseline"/>
            </w:pPr>
            <w:r>
              <w:rPr>
                <w:rFonts w:ascii="Arial" w:hAnsi="Arial" w:cs="Arial"/>
                <w:color w:val="666666"/>
                <w:sz w:val="20"/>
                <w:szCs w:val="20"/>
              </w:rPr>
              <w:t>A proven policy, advisory and advocacy experience including engagement with political leaders, civil society and the international community;</w:t>
            </w:r>
          </w:p>
          <w:p w:rsidR="00A40A3E" w:rsidRDefault="00A40A3E" w:rsidP="009278B6">
            <w:pPr>
              <w:numPr>
                <w:ilvl w:val="0"/>
                <w:numId w:val="6"/>
              </w:numPr>
              <w:spacing w:line="293" w:lineRule="atLeast"/>
              <w:ind w:left="750"/>
              <w:textAlignment w:val="baseline"/>
            </w:pPr>
            <w:r>
              <w:rPr>
                <w:rFonts w:ascii="Arial" w:hAnsi="Arial" w:cs="Arial"/>
                <w:color w:val="666666"/>
                <w:sz w:val="20"/>
                <w:szCs w:val="20"/>
              </w:rPr>
              <w:t>Experience in operating in a complex political environment;</w:t>
            </w:r>
          </w:p>
          <w:p w:rsidR="00A40A3E" w:rsidRDefault="00A40A3E" w:rsidP="009278B6">
            <w:pPr>
              <w:numPr>
                <w:ilvl w:val="0"/>
                <w:numId w:val="6"/>
              </w:numPr>
              <w:spacing w:line="293" w:lineRule="atLeast"/>
              <w:ind w:left="750"/>
              <w:textAlignment w:val="baseline"/>
            </w:pPr>
            <w:r>
              <w:rPr>
                <w:rFonts w:ascii="Arial" w:hAnsi="Arial" w:cs="Arial"/>
                <w:color w:val="666666"/>
                <w:sz w:val="20"/>
                <w:szCs w:val="20"/>
              </w:rPr>
              <w:t>Nepal and South Asian experience on constitutional development is an asset.</w:t>
            </w:r>
          </w:p>
          <w:p w:rsidR="00A40A3E" w:rsidRDefault="00A40A3E">
            <w:pPr>
              <w:spacing w:line="293" w:lineRule="atLeast"/>
              <w:textAlignment w:val="baseline"/>
            </w:pPr>
            <w:r>
              <w:rPr>
                <w:rFonts w:ascii="Arial" w:hAnsi="Arial" w:cs="Arial"/>
                <w:b/>
                <w:bCs/>
                <w:color w:val="666666"/>
                <w:bdr w:val="none" w:sz="0" w:space="0" w:color="auto" w:frame="1"/>
              </w:rPr>
              <w:t>Language:</w:t>
            </w:r>
          </w:p>
          <w:p w:rsidR="00A40A3E" w:rsidRDefault="00A40A3E" w:rsidP="009278B6">
            <w:pPr>
              <w:numPr>
                <w:ilvl w:val="0"/>
                <w:numId w:val="7"/>
              </w:numPr>
              <w:spacing w:line="293" w:lineRule="atLeast"/>
              <w:ind w:left="750"/>
              <w:textAlignment w:val="baseline"/>
            </w:pPr>
            <w:r>
              <w:rPr>
                <w:rFonts w:ascii="Arial" w:hAnsi="Arial" w:cs="Arial"/>
                <w:color w:val="666666"/>
                <w:sz w:val="20"/>
                <w:szCs w:val="20"/>
              </w:rPr>
              <w:t>Excellent English language skills, oral and written.</w:t>
            </w:r>
          </w:p>
        </w:tc>
      </w:tr>
    </w:tbl>
    <w:p w:rsidR="00AE5DC1" w:rsidRDefault="006A6AB1"/>
    <w:sectPr w:rsidR="00AE5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B0E7D"/>
    <w:multiLevelType w:val="multilevel"/>
    <w:tmpl w:val="1D803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27225BF"/>
    <w:multiLevelType w:val="multilevel"/>
    <w:tmpl w:val="8B14E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77130C7"/>
    <w:multiLevelType w:val="multilevel"/>
    <w:tmpl w:val="0658C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A337702"/>
    <w:multiLevelType w:val="multilevel"/>
    <w:tmpl w:val="9266C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5EE1F68"/>
    <w:multiLevelType w:val="multilevel"/>
    <w:tmpl w:val="089EF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22D7605"/>
    <w:multiLevelType w:val="multilevel"/>
    <w:tmpl w:val="D876B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EF00F2F"/>
    <w:multiLevelType w:val="multilevel"/>
    <w:tmpl w:val="63D65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3E"/>
    <w:rsid w:val="006A6AB1"/>
    <w:rsid w:val="00A40A3E"/>
    <w:rsid w:val="00D622AF"/>
    <w:rsid w:val="00E4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3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A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3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urement-notices-admin.undp.org/view_notice.cfm?notice_id=19351" TargetMode="External"/><Relationship Id="rId3" Type="http://schemas.microsoft.com/office/2007/relationships/stylesWithEffects" Target="stylesWithEffects.xml"/><Relationship Id="rId7" Type="http://schemas.openxmlformats.org/officeDocument/2006/relationships/hyperlink" Target="https://jobs.undp.org/cj_apply.cfm?cur_job_id=51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undp.org/cj_refer.cfm?cur_job_id=5154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np@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Charmaine Rodrigues</dc:creator>
  <cp:lastModifiedBy>Jason Gluck</cp:lastModifiedBy>
  <cp:revision>2</cp:revision>
  <dcterms:created xsi:type="dcterms:W3CDTF">2015-01-30T19:35:00Z</dcterms:created>
  <dcterms:modified xsi:type="dcterms:W3CDTF">2015-01-30T19:35:00Z</dcterms:modified>
</cp:coreProperties>
</file>